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E9" w:rsidRPr="005868EE" w:rsidRDefault="006D0FE9" w:rsidP="006D0FE9">
      <w:pPr>
        <w:spacing w:line="240" w:lineRule="auto"/>
        <w:rPr>
          <w:rFonts w:ascii="Calibri" w:hAnsi="Calibri"/>
          <w:color w:val="4F6228" w:themeColor="accent3" w:themeShade="80"/>
        </w:rPr>
      </w:pPr>
      <w:r w:rsidRPr="005868EE">
        <w:rPr>
          <w:rFonts w:ascii="Calibri" w:hAnsi="Calibri"/>
          <w:color w:val="4F6228" w:themeColor="accent3" w:themeShade="80"/>
        </w:rPr>
        <w:t>Estimados colegas:</w:t>
      </w:r>
    </w:p>
    <w:p w:rsidR="006D0FE9" w:rsidRDefault="006D0FE9" w:rsidP="006D0FE9">
      <w:pPr>
        <w:spacing w:after="0" w:line="240" w:lineRule="auto"/>
        <w:rPr>
          <w:rFonts w:ascii="Calibri" w:hAnsi="Calibri"/>
          <w:color w:val="4F6228" w:themeColor="accent3" w:themeShade="80"/>
        </w:rPr>
      </w:pPr>
      <w:r w:rsidRPr="005868EE">
        <w:rPr>
          <w:rFonts w:ascii="Calibri" w:hAnsi="Calibri"/>
          <w:color w:val="4F6228" w:themeColor="accent3" w:themeShade="80"/>
        </w:rPr>
        <w:t xml:space="preserve">                Aquí les envío la </w:t>
      </w:r>
      <w:r w:rsidR="00725F21">
        <w:rPr>
          <w:rFonts w:ascii="Calibri" w:hAnsi="Calibri"/>
          <w:color w:val="4F6228" w:themeColor="accent3" w:themeShade="80"/>
        </w:rPr>
        <w:t>TERCERA</w:t>
      </w:r>
      <w:r>
        <w:rPr>
          <w:rFonts w:ascii="Calibri" w:hAnsi="Calibri"/>
          <w:color w:val="4F6228" w:themeColor="accent3" w:themeShade="80"/>
        </w:rPr>
        <w:t xml:space="preserve"> tand</w:t>
      </w:r>
      <w:r w:rsidRPr="005868EE">
        <w:rPr>
          <w:rFonts w:ascii="Calibri" w:hAnsi="Calibri"/>
          <w:color w:val="4F6228" w:themeColor="accent3" w:themeShade="80"/>
        </w:rPr>
        <w:t xml:space="preserve">a de respuestas </w:t>
      </w:r>
      <w:r>
        <w:rPr>
          <w:rFonts w:ascii="Calibri" w:hAnsi="Calibri"/>
          <w:color w:val="4F6228" w:themeColor="accent3" w:themeShade="80"/>
        </w:rPr>
        <w:t>(</w:t>
      </w:r>
      <w:r w:rsidR="00725F21">
        <w:rPr>
          <w:rFonts w:ascii="Calibri" w:hAnsi="Calibri"/>
          <w:color w:val="4F6228" w:themeColor="accent3" w:themeShade="80"/>
        </w:rPr>
        <w:t>15</w:t>
      </w:r>
      <w:r>
        <w:rPr>
          <w:rFonts w:ascii="Calibri" w:hAnsi="Calibri"/>
          <w:color w:val="4F6228" w:themeColor="accent3" w:themeShade="80"/>
        </w:rPr>
        <w:t xml:space="preserve"> en adelante) </w:t>
      </w:r>
      <w:r w:rsidRPr="005868EE">
        <w:rPr>
          <w:rFonts w:ascii="Calibri" w:hAnsi="Calibri"/>
          <w:color w:val="4F6228" w:themeColor="accent3" w:themeShade="80"/>
        </w:rPr>
        <w:t>a consultas efectuadas por concursantes.  </w:t>
      </w:r>
    </w:p>
    <w:p w:rsidR="006D0FE9" w:rsidRDefault="006D0FE9" w:rsidP="006D0FE9">
      <w:pPr>
        <w:spacing w:after="0" w:line="240" w:lineRule="auto"/>
        <w:rPr>
          <w:rFonts w:ascii="Calibri" w:hAnsi="Calibri"/>
          <w:color w:val="4F6228" w:themeColor="accent3" w:themeShade="80"/>
        </w:rPr>
      </w:pPr>
      <w:r>
        <w:rPr>
          <w:rFonts w:ascii="Calibri" w:hAnsi="Calibri"/>
          <w:color w:val="4F6228" w:themeColor="accent3" w:themeShade="80"/>
        </w:rPr>
        <w:tab/>
        <w:t xml:space="preserve">La próxima tanda de respuestas será el </w:t>
      </w:r>
      <w:r w:rsidRPr="00725F21">
        <w:rPr>
          <w:rFonts w:ascii="Calibri" w:hAnsi="Calibri"/>
          <w:b/>
          <w:color w:val="4F6228" w:themeColor="accent3" w:themeShade="80"/>
        </w:rPr>
        <w:t>23/04/14</w:t>
      </w:r>
      <w:r>
        <w:rPr>
          <w:rFonts w:ascii="Calibri" w:hAnsi="Calibri"/>
          <w:color w:val="4F6228" w:themeColor="accent3" w:themeShade="80"/>
        </w:rPr>
        <w:t xml:space="preserve"> y la última el </w:t>
      </w:r>
      <w:r w:rsidRPr="00725F21">
        <w:rPr>
          <w:rFonts w:ascii="Calibri" w:hAnsi="Calibri"/>
          <w:b/>
          <w:color w:val="4F6228" w:themeColor="accent3" w:themeShade="80"/>
        </w:rPr>
        <w:t>30/04/14</w:t>
      </w:r>
      <w:r>
        <w:rPr>
          <w:rFonts w:ascii="Calibri" w:hAnsi="Calibri"/>
          <w:color w:val="4F6228" w:themeColor="accent3" w:themeShade="80"/>
        </w:rPr>
        <w:t>.</w:t>
      </w:r>
    </w:p>
    <w:p w:rsidR="006D0FE9" w:rsidRPr="005868EE" w:rsidRDefault="006D0FE9" w:rsidP="006D0FE9">
      <w:pPr>
        <w:spacing w:after="0" w:line="240" w:lineRule="auto"/>
        <w:rPr>
          <w:rFonts w:ascii="Calibri" w:hAnsi="Calibri"/>
          <w:color w:val="4F6228" w:themeColor="accent3" w:themeShade="80"/>
        </w:rPr>
      </w:pPr>
      <w:r>
        <w:rPr>
          <w:rFonts w:ascii="Calibri" w:hAnsi="Calibri"/>
          <w:color w:val="4F6228" w:themeColor="accent3" w:themeShade="80"/>
        </w:rPr>
        <w:tab/>
        <w:t>De encontrar o recibir algún material que considere de importancia, antes del 23/04/14, se los enviaré o lo haré subir a la página web de SAU.</w:t>
      </w:r>
      <w:r w:rsidRPr="005868EE">
        <w:rPr>
          <w:rFonts w:ascii="Calibri" w:hAnsi="Calibri"/>
          <w:color w:val="4F6228" w:themeColor="accent3" w:themeShade="80"/>
        </w:rPr>
        <w:t xml:space="preserve">              </w:t>
      </w:r>
      <w:r w:rsidRPr="005868EE">
        <w:rPr>
          <w:rFonts w:ascii="Calibri" w:hAnsi="Calibri"/>
          <w:color w:val="4F6228" w:themeColor="accent3" w:themeShade="80"/>
        </w:rPr>
        <w:tab/>
      </w:r>
    </w:p>
    <w:p w:rsidR="006D0FE9" w:rsidRPr="005868EE" w:rsidRDefault="006D0FE9" w:rsidP="006D0FE9">
      <w:pPr>
        <w:spacing w:after="0" w:line="240" w:lineRule="auto"/>
        <w:ind w:firstLine="708"/>
        <w:rPr>
          <w:rFonts w:ascii="Calibri" w:hAnsi="Calibri"/>
          <w:color w:val="4F6228" w:themeColor="accent3" w:themeShade="80"/>
        </w:rPr>
      </w:pPr>
      <w:r w:rsidRPr="005868EE">
        <w:rPr>
          <w:rFonts w:ascii="Calibri" w:hAnsi="Calibri"/>
          <w:color w:val="4F6228" w:themeColor="accent3" w:themeShade="80"/>
        </w:rPr>
        <w:t>Estoy a sus órdenes.</w:t>
      </w:r>
    </w:p>
    <w:p w:rsidR="006D0FE9" w:rsidRPr="005868EE" w:rsidRDefault="006D0FE9" w:rsidP="006D0FE9">
      <w:pPr>
        <w:spacing w:after="0" w:line="240" w:lineRule="auto"/>
        <w:rPr>
          <w:rFonts w:ascii="Calibri" w:hAnsi="Calibri"/>
          <w:color w:val="4F6228" w:themeColor="accent3" w:themeShade="80"/>
        </w:rPr>
      </w:pPr>
      <w:r w:rsidRPr="005868EE">
        <w:rPr>
          <w:rFonts w:ascii="Calibri" w:hAnsi="Calibri"/>
          <w:color w:val="4F6228" w:themeColor="accent3" w:themeShade="80"/>
        </w:rPr>
        <w:t>               Saludos para todos, </w:t>
      </w:r>
    </w:p>
    <w:p w:rsidR="006D0FE9" w:rsidRPr="005868EE" w:rsidRDefault="006D0FE9" w:rsidP="006D0FE9">
      <w:pPr>
        <w:spacing w:after="0" w:line="240" w:lineRule="auto"/>
        <w:rPr>
          <w:rFonts w:ascii="Calibri" w:hAnsi="Calibri"/>
          <w:color w:val="4F6228" w:themeColor="accent3" w:themeShade="80"/>
        </w:rPr>
      </w:pPr>
    </w:p>
    <w:p w:rsidR="006D0FE9" w:rsidRPr="005868EE" w:rsidRDefault="006D0FE9" w:rsidP="006D0FE9">
      <w:pPr>
        <w:spacing w:after="0" w:line="240" w:lineRule="auto"/>
        <w:rPr>
          <w:rFonts w:ascii="Calibri" w:hAnsi="Calibri"/>
          <w:color w:val="4F6228" w:themeColor="accent3" w:themeShade="80"/>
        </w:rPr>
      </w:pPr>
      <w:r w:rsidRPr="005868EE">
        <w:rPr>
          <w:rFonts w:ascii="Calibri" w:hAnsi="Calibri"/>
          <w:bCs/>
          <w:color w:val="4F6228" w:themeColor="accent3" w:themeShade="80"/>
          <w:sz w:val="20"/>
          <w:szCs w:val="20"/>
        </w:rPr>
        <w:t>Arq. Miguel  Ángel  Odriozola  Guillot</w:t>
      </w:r>
    </w:p>
    <w:p w:rsidR="006D0FE9" w:rsidRDefault="006D0FE9" w:rsidP="006D0FE9">
      <w:pPr>
        <w:spacing w:after="0" w:line="240" w:lineRule="auto"/>
        <w:rPr>
          <w:rFonts w:ascii="Calibri" w:hAnsi="Calibri"/>
          <w:bCs/>
          <w:color w:val="4F6228" w:themeColor="accent3" w:themeShade="80"/>
          <w:sz w:val="20"/>
          <w:szCs w:val="20"/>
        </w:rPr>
      </w:pPr>
      <w:r w:rsidRPr="005868EE">
        <w:rPr>
          <w:rFonts w:ascii="Calibri" w:hAnsi="Calibri"/>
          <w:bCs/>
          <w:color w:val="4F6228" w:themeColor="accent3" w:themeShade="80"/>
        </w:rPr>
        <w:t xml:space="preserve">             </w:t>
      </w:r>
      <w:r w:rsidRPr="005868EE">
        <w:rPr>
          <w:rFonts w:ascii="Calibri" w:hAnsi="Calibri"/>
          <w:bCs/>
          <w:color w:val="4F6228" w:themeColor="accent3" w:themeShade="80"/>
          <w:sz w:val="20"/>
          <w:szCs w:val="20"/>
        </w:rPr>
        <w:t>ASESORÍA TÉCNICA</w:t>
      </w:r>
    </w:p>
    <w:p w:rsidR="00725F21" w:rsidRPr="005868EE" w:rsidRDefault="00725F21" w:rsidP="006D0FE9">
      <w:pPr>
        <w:spacing w:after="0" w:line="240" w:lineRule="auto"/>
        <w:rPr>
          <w:rFonts w:ascii="Calibri" w:hAnsi="Calibri"/>
          <w:color w:val="4F6228" w:themeColor="accent3" w:themeShade="80"/>
          <w:sz w:val="20"/>
          <w:szCs w:val="20"/>
        </w:rPr>
      </w:pPr>
    </w:p>
    <w:p w:rsidR="004768B2" w:rsidRDefault="004768B2" w:rsidP="004768B2">
      <w:pPr>
        <w:rPr>
          <w:lang w:val="es-ES"/>
        </w:rPr>
      </w:pPr>
      <w:r w:rsidRPr="001665CE">
        <w:rPr>
          <w:b/>
          <w:lang w:val="es-ES"/>
        </w:rPr>
        <w:t>PREGUNTA 1</w:t>
      </w:r>
      <w:r>
        <w:rPr>
          <w:b/>
          <w:lang w:val="es-ES"/>
        </w:rPr>
        <w:t>5</w:t>
      </w:r>
      <w:r w:rsidRPr="001665CE">
        <w:rPr>
          <w:b/>
          <w:lang w:val="es-ES"/>
        </w:rPr>
        <w:t>:</w:t>
      </w:r>
      <w:r w:rsidRPr="0036373D">
        <w:rPr>
          <w:lang w:val="es-ES"/>
        </w:rPr>
        <w:t xml:space="preserve"> </w:t>
      </w:r>
    </w:p>
    <w:p w:rsidR="004768B2" w:rsidRDefault="004768B2" w:rsidP="004768B2">
      <w:r>
        <w:t xml:space="preserve">Quisiera saber si parte de los 50 autos </w:t>
      </w:r>
      <w:proofErr w:type="spellStart"/>
      <w:r>
        <w:t>podrian</w:t>
      </w:r>
      <w:proofErr w:type="spellEnd"/>
      <w:r>
        <w:t xml:space="preserve"> estacionarse fuera del polígono de actuación</w:t>
      </w:r>
      <w:proofErr w:type="gramStart"/>
      <w:r>
        <w:t>?</w:t>
      </w:r>
      <w:proofErr w:type="gramEnd"/>
    </w:p>
    <w:p w:rsidR="004768B2" w:rsidRDefault="004768B2" w:rsidP="004768B2">
      <w:pPr>
        <w:spacing w:after="0" w:line="240" w:lineRule="auto"/>
        <w:rPr>
          <w:lang w:val="es-ES"/>
        </w:rPr>
      </w:pPr>
      <w:r>
        <w:rPr>
          <w:b/>
        </w:rPr>
        <w:t>R</w:t>
      </w:r>
      <w:r w:rsidRPr="0036373D">
        <w:rPr>
          <w:b/>
        </w:rPr>
        <w:t xml:space="preserve">ESPUESTA </w:t>
      </w:r>
      <w:r>
        <w:rPr>
          <w:b/>
        </w:rPr>
        <w:t>15</w:t>
      </w:r>
      <w:r w:rsidRPr="0036373D">
        <w:rPr>
          <w:b/>
          <w:lang w:val="es-ES"/>
        </w:rPr>
        <w:t>:</w:t>
      </w:r>
      <w:r w:rsidRPr="0036373D">
        <w:rPr>
          <w:lang w:val="es-ES"/>
        </w:rPr>
        <w:t xml:space="preserve"> </w:t>
      </w:r>
    </w:p>
    <w:p w:rsidR="00C353E1" w:rsidRDefault="00327DB7">
      <w:pPr>
        <w:rPr>
          <w:rFonts w:ascii="Arial" w:hAnsi="Arial" w:cs="Arial"/>
          <w:sz w:val="20"/>
          <w:szCs w:val="20"/>
        </w:rPr>
      </w:pPr>
      <w:r w:rsidRPr="00327DB7">
        <w:t>Se recuerda que el área de estacionamientos está dentro de la PLANILLA SÍNTESIS DE PROGRAMA (numeral 3.6 de Programa), dentro de Áreas Exteriores</w:t>
      </w:r>
      <w:r>
        <w:t xml:space="preserve">. </w:t>
      </w:r>
      <w:r w:rsidR="00C353E1">
        <w:t xml:space="preserve">Ante su pregunta y luego de haber consultado a UTEC y a CGA, concluimos que </w:t>
      </w:r>
      <w:r w:rsidR="004768B2">
        <w:t xml:space="preserve">al menos </w:t>
      </w:r>
      <w:r w:rsidR="00C353E1">
        <w:t xml:space="preserve">un 50% de los autos </w:t>
      </w:r>
      <w:r>
        <w:t xml:space="preserve">que figuran en dicha planilla, </w:t>
      </w:r>
      <w:r w:rsidR="00C353E1">
        <w:t xml:space="preserve">debería </w:t>
      </w:r>
      <w:r w:rsidR="004768B2">
        <w:t>poder estacionarse</w:t>
      </w:r>
      <w:r w:rsidR="00C353E1">
        <w:t xml:space="preserve"> dentro del polígono </w:t>
      </w:r>
      <w:r w:rsidR="004768B2">
        <w:t xml:space="preserve">de actuación </w:t>
      </w:r>
      <w:r w:rsidR="00C353E1">
        <w:t xml:space="preserve">y el restante 50% se podrá ubicar en espacios exteriores al mismo. Hay espacios previstos fuera del polígono para estacionamiento, </w:t>
      </w:r>
      <w:r w:rsidR="004768B2">
        <w:t xml:space="preserve">adyacentes al Área D-2, </w:t>
      </w:r>
      <w:r w:rsidR="00C353E1">
        <w:t>además de calles públicas.</w:t>
      </w:r>
      <w:r w:rsidR="004768B2">
        <w:t xml:space="preserve"> Se adjunta un plano de zonificación enviado por CGA.</w:t>
      </w:r>
      <w:r w:rsidRPr="00327DB7">
        <w:rPr>
          <w:rFonts w:ascii="Arial" w:hAnsi="Arial" w:cs="Arial"/>
          <w:sz w:val="20"/>
          <w:szCs w:val="20"/>
        </w:rPr>
        <w:t xml:space="preserve"> </w:t>
      </w:r>
    </w:p>
    <w:p w:rsidR="00327DB7" w:rsidRDefault="00327DB7" w:rsidP="00327DB7">
      <w:pPr>
        <w:rPr>
          <w:lang w:val="es-ES"/>
        </w:rPr>
      </w:pPr>
      <w:r w:rsidRPr="001665CE">
        <w:rPr>
          <w:b/>
          <w:lang w:val="es-ES"/>
        </w:rPr>
        <w:t>PREGUNTA 1</w:t>
      </w:r>
      <w:r>
        <w:rPr>
          <w:b/>
          <w:lang w:val="es-ES"/>
        </w:rPr>
        <w:t>6</w:t>
      </w:r>
      <w:r w:rsidRPr="001665CE">
        <w:rPr>
          <w:b/>
          <w:lang w:val="es-ES"/>
        </w:rPr>
        <w:t>:</w:t>
      </w:r>
      <w:r w:rsidRPr="0036373D">
        <w:rPr>
          <w:lang w:val="es-ES"/>
        </w:rPr>
        <w:t xml:space="preserve"> </w:t>
      </w:r>
    </w:p>
    <w:p w:rsidR="00327DB7" w:rsidRDefault="00327DB7" w:rsidP="00327DB7">
      <w:pPr>
        <w:rPr>
          <w:lang w:val="es-ES"/>
        </w:rPr>
      </w:pPr>
      <w:r>
        <w:rPr>
          <w:lang w:val="es-ES"/>
        </w:rPr>
        <w:t>¿Se podrá visitar el sitio durante semana de turismo?</w:t>
      </w:r>
    </w:p>
    <w:p w:rsidR="00327DB7" w:rsidRDefault="00327DB7" w:rsidP="00327DB7">
      <w:pPr>
        <w:spacing w:after="0" w:line="240" w:lineRule="auto"/>
        <w:rPr>
          <w:lang w:val="es-ES"/>
        </w:rPr>
      </w:pPr>
      <w:r>
        <w:rPr>
          <w:b/>
        </w:rPr>
        <w:t>R</w:t>
      </w:r>
      <w:r w:rsidRPr="0036373D">
        <w:rPr>
          <w:b/>
        </w:rPr>
        <w:t xml:space="preserve">ESPUESTA </w:t>
      </w:r>
      <w:r>
        <w:rPr>
          <w:b/>
        </w:rPr>
        <w:t>16</w:t>
      </w:r>
      <w:r w:rsidRPr="0036373D">
        <w:rPr>
          <w:b/>
          <w:lang w:val="es-ES"/>
        </w:rPr>
        <w:t>:</w:t>
      </w:r>
      <w:r w:rsidRPr="0036373D">
        <w:rPr>
          <w:lang w:val="es-ES"/>
        </w:rPr>
        <w:t xml:space="preserve"> </w:t>
      </w:r>
    </w:p>
    <w:p w:rsidR="00327DB7" w:rsidRDefault="00327DB7" w:rsidP="00327DB7">
      <w:pPr>
        <w:spacing w:after="0" w:line="240" w:lineRule="auto"/>
        <w:rPr>
          <w:lang w:val="es-ES"/>
        </w:rPr>
      </w:pPr>
      <w:r w:rsidRPr="000D7CC6">
        <w:rPr>
          <w:lang w:val="es-ES"/>
        </w:rPr>
        <w:t>Las visitas al inmueble con acceso total al polígono de actuación e ingreso a las Áreas B y C se mantendrán dentro de las fechas estipuladas en Bases y Programa. No obstante se puede visitar el polígono de actuación todos los días, desde las 9.30 horas hasta las 17 horas y recorrerlo pero sin poder ingresar a las Áreas B y C.</w:t>
      </w:r>
    </w:p>
    <w:p w:rsidR="00327DB7" w:rsidRPr="00327DB7" w:rsidRDefault="00327DB7">
      <w:pPr>
        <w:rPr>
          <w:lang w:val="es-ES"/>
        </w:rPr>
      </w:pPr>
    </w:p>
    <w:p w:rsidR="004768B2" w:rsidRDefault="004768B2"/>
    <w:sectPr w:rsidR="004768B2" w:rsidSect="00F704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353E1"/>
    <w:rsid w:val="00327DB7"/>
    <w:rsid w:val="004768B2"/>
    <w:rsid w:val="006D0FE9"/>
    <w:rsid w:val="00725F21"/>
    <w:rsid w:val="007D2921"/>
    <w:rsid w:val="00AA0AF6"/>
    <w:rsid w:val="00C353E1"/>
    <w:rsid w:val="00F70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4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MIGUEL</cp:lastModifiedBy>
  <cp:revision>2</cp:revision>
  <dcterms:created xsi:type="dcterms:W3CDTF">2014-04-11T19:06:00Z</dcterms:created>
  <dcterms:modified xsi:type="dcterms:W3CDTF">2014-04-11T19:39:00Z</dcterms:modified>
</cp:coreProperties>
</file>